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Markerboards.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Color charts for selection of color and texture of markerboard.</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markerboard.</w:t>
      </w:r>
    </w:p>
    <w:p>
      <w:pPr>
        <w:pStyle w:val="AIA Format Level 3"/>
        <w:numPr>
          <w:ilvl w:val="3"/>
          <w:numId w:val="2"/>
        </w:numPr>
        <w:jc w:val="left"/>
      </w:pPr>
      <w:r>
        <w:rPr>
          <w:rFonts w:ascii="times new roman" w:eastAsia="times new roman" w:hAnsi="times new roman" w:cs="times new roman"/>
          <w:sz w:val="22"/>
          <w:szCs w:val="22"/>
        </w:rPr>
        <w:t>Include accessory samples to confirm the selected color.</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should have a of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​​Life Time​​ warranty for ​​markerboard​​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Markerboard are warranted for one year against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Porcelain Enamel Markerboards:</w:t>
      </w:r>
    </w:p>
    <w:p>
      <w:pPr>
        <w:pStyle w:val="AIA Format Level 3"/>
        <w:numPr>
          <w:ilvl w:val="3"/>
          <w:numId w:val="2"/>
        </w:numPr>
        <w:jc w:val="left"/>
      </w:pPr>
      <w:r>
        <w:rPr>
          <w:rFonts w:ascii="times new roman" w:eastAsia="times new roman" w:hAnsi="times new roman" w:cs="times new roman"/>
          <w:sz w:val="22"/>
          <w:szCs w:val="22"/>
        </w:rPr>
        <w:t>Markerboards: Porcelain enamel markerboards, laminated to core.</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White ], [ High ][ Low ] gloss.</w:t>
      </w:r>
    </w:p>
    <w:p>
      <w:pPr>
        <w:pStyle w:val="AIA Format Level 4"/>
        <w:numPr>
          <w:ilvl w:val="4"/>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4"/>
        <w:numPr>
          <w:ilvl w:val="4"/>
          <w:numId w:val="2"/>
        </w:numPr>
        <w:jc w:val="left"/>
      </w:pPr>
      <w:r>
        <w:rPr>
          <w:rFonts w:ascii="times new roman" w:eastAsia="times new roman" w:hAnsi="times new roman" w:cs="times new roman"/>
          <w:b/>
          <w:bCs/>
          <w:sz w:val="22"/>
          <w:szCs w:val="22"/>
        </w:rPr>
        <w:t>Core: [</w:t>
      </w:r>
      <w:r>
        <w:rPr>
          <w:rFonts w:ascii="times new roman" w:eastAsia="times new roman" w:hAnsi="times new roman" w:cs="times new roman"/>
          <w:sz w:val="22"/>
          <w:szCs w:val="22"/>
        </w:rPr>
        <w:t xml:space="preserve"> ​​​​Particleboard​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[ 1/2'' Inch Thick ([12.7 mm]) ], laminated to face sheet.</w:t>
      </w:r>
    </w:p>
    <w:p>
      <w:pPr>
        <w:pStyle w:val="AIA Format Level 5"/>
        <w:numPr>
          <w:ilvl w:val="5"/>
          <w:numId w:val="2"/>
        </w:numPr>
        <w:jc w:val="left"/>
      </w:pPr>
      <w:r>
        <w:rPr>
          <w:rFonts w:ascii="times new roman" w:eastAsia="times new roman" w:hAnsi="times new roman" w:cs="times new roman"/>
          <w:b/>
          <w:bCs/>
          <w:sz w:val="22"/>
          <w:szCs w:val="22"/>
        </w:rPr>
        <w:t>Alternate Cores:</w:t>
      </w:r>
    </w:p>
    <w:p>
      <w:pPr>
        <w:pStyle w:val="AIA Format Level 6"/>
        <w:numPr>
          <w:ilvl w:val="6"/>
          <w:numId w:val="2"/>
        </w:numPr>
        <w:jc w:val="left"/>
      </w:pPr>
      <w:r>
        <w:rPr>
          <w:rFonts w:ascii="times new roman" w:eastAsia="times new roman" w:hAnsi="times new roman" w:cs="times new roman"/>
          <w:sz w:val="22"/>
          <w:szCs w:val="22"/>
        </w:rPr>
        <w:t>Particleboard.</w:t>
      </w:r>
    </w:p>
    <w:p>
      <w:pPr>
        <w:pStyle w:val="AIA Format Level 6"/>
        <w:numPr>
          <w:ilvl w:val="6"/>
          <w:numId w:val="2"/>
        </w:numPr>
        <w:jc w:val="left"/>
      </w:pPr>
      <w:r>
        <w:rPr>
          <w:rFonts w:ascii="times new roman" w:eastAsia="times new roman" w:hAnsi="times new roman" w:cs="times new roman"/>
          <w:sz w:val="22"/>
          <w:szCs w:val="22"/>
        </w:rPr>
        <w:t>Fiberboard.</w:t>
      </w:r>
    </w:p>
    <w:p>
      <w:pPr>
        <w:pStyle w:val="AIA Format Level 6"/>
        <w:numPr>
          <w:ilvl w:val="6"/>
          <w:numId w:val="2"/>
        </w:numPr>
        <w:jc w:val="left"/>
      </w:pPr>
      <w:r>
        <w:rPr>
          <w:rFonts w:ascii="times new roman" w:eastAsia="times new roman" w:hAnsi="times new roman" w:cs="times new roman"/>
          <w:sz w:val="22"/>
          <w:szCs w:val="22"/>
        </w:rPr>
        <w:t>Hardboard.</w:t>
      </w:r>
    </w:p>
    <w:p>
      <w:pPr>
        <w:pStyle w:val="AIA Format Level 6"/>
        <w:numPr>
          <w:ilvl w:val="6"/>
          <w:numId w:val="2"/>
        </w:numPr>
        <w:jc w:val="left"/>
      </w:pPr>
      <w:r>
        <w:rPr>
          <w:rFonts w:ascii="times new roman" w:eastAsia="times new roman" w:hAnsi="times new roman" w:cs="times new roman"/>
          <w:sz w:val="22"/>
          <w:szCs w:val="22"/>
        </w:rPr>
        <w:t>MDF.</w:t>
      </w:r>
    </w:p>
    <w:p>
      <w:pPr>
        <w:pStyle w:val="AIA Format Level 6"/>
        <w:numPr>
          <w:ilvl w:val="6"/>
          <w:numId w:val="2"/>
        </w:numPr>
        <w:jc w:val="left"/>
      </w:pPr>
      <w:r>
        <w:rPr>
          <w:rFonts w:ascii="times new roman" w:eastAsia="times new roman" w:hAnsi="times new roman" w:cs="times new roman"/>
          <w:sz w:val="22"/>
          <w:szCs w:val="22"/>
        </w:rPr>
        <w:t>Honey Comb.</w:t>
      </w:r>
    </w:p>
    <w:p>
      <w:pPr>
        <w:pStyle w:val="AIA Format Level 5"/>
        <w:numPr>
          <w:ilvl w:val="5"/>
          <w:numId w:val="2"/>
        </w:numPr>
        <w:jc w:val="left"/>
      </w:pPr>
      <w:r>
        <w:rPr>
          <w:rFonts w:ascii="times new roman" w:eastAsia="times new roman" w:hAnsi="times new roman" w:cs="times new roman"/>
          <w:b/>
          <w:bCs/>
          <w:sz w:val="22"/>
          <w:szCs w:val="22"/>
        </w:rPr>
        <w:t>Alternate Thicknesses:</w:t>
      </w:r>
    </w:p>
    <w:p>
      <w:pPr>
        <w:pStyle w:val="AIA Format Level 6"/>
        <w:numPr>
          <w:ilvl w:val="6"/>
          <w:numId w:val="2"/>
        </w:numPr>
        <w:jc w:val="left"/>
      </w:pPr>
      <w:r>
        <w:rPr>
          <w:rFonts w:ascii="times new roman" w:eastAsia="times new roman" w:hAnsi="times new roman" w:cs="times new roman"/>
          <w:sz w:val="22"/>
          <w:szCs w:val="22"/>
        </w:rPr>
        <w:t>7/16'' Inch Thick ([11.11 mm])</w:t>
      </w:r>
    </w:p>
    <w:p>
      <w:pPr>
        <w:pStyle w:val="AIA Format Level 6"/>
        <w:numPr>
          <w:ilvl w:val="6"/>
          <w:numId w:val="2"/>
        </w:numPr>
        <w:jc w:val="left"/>
      </w:pPr>
      <w:r>
        <w:rPr>
          <w:rFonts w:ascii="times new roman" w:eastAsia="times new roman" w:hAnsi="times new roman" w:cs="times new roman"/>
          <w:sz w:val="22"/>
          <w:szCs w:val="22"/>
        </w:rPr>
        <w:t>1/2'' Inch Thick ([12.7 mm])</w:t>
      </w:r>
    </w:p>
    <w:p>
      <w:pPr>
        <w:pStyle w:val="AIA Format Level 6"/>
        <w:numPr>
          <w:ilvl w:val="6"/>
          <w:numId w:val="2"/>
        </w:numPr>
        <w:jc w:val="left"/>
      </w:pPr>
      <w:r>
        <w:rPr>
          <w:rFonts w:ascii="times new roman" w:eastAsia="times new roman" w:hAnsi="times new roman" w:cs="times new roman"/>
          <w:sz w:val="22"/>
          <w:szCs w:val="22"/>
        </w:rPr>
        <w:t>3/8'' Inch Thick ([9.52 mm])</w:t>
      </w:r>
    </w:p>
    <w:p>
      <w:pPr>
        <w:pStyle w:val="AIA Format Level 6"/>
        <w:numPr>
          <w:ilvl w:val="6"/>
          <w:numId w:val="2"/>
        </w:numPr>
        <w:jc w:val="left"/>
      </w:pPr>
      <w:r>
        <w:rPr>
          <w:rFonts w:ascii="times new roman" w:eastAsia="times new roman" w:hAnsi="times new roman" w:cs="times new roman"/>
          <w:sz w:val="22"/>
          <w:szCs w:val="22"/>
        </w:rPr>
        <w:t>1/4'' Inch Thick ([6.35 mm])</w:t>
      </w:r>
    </w:p>
    <w:p>
      <w:pPr>
        <w:pStyle w:val="AIA Format Level 4"/>
        <w:numPr>
          <w:ilvl w:val="4"/>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 ​​​​​​​​​​​​.</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Adhesive:</w:t>
      </w:r>
      <w:r>
        <w:rPr>
          <w:rFonts w:ascii="times new roman" w:eastAsia="times new roman" w:hAnsi="times new roman" w:cs="times new roman"/>
          <w:sz w:val="22"/>
          <w:szCs w:val="22"/>
        </w:rPr>
        <w:t xml:space="preserve"> Manufacturers written recommended standard moisture-resisdtant thermoplastic-type adhesive.</w:t>
      </w:r>
    </w:p>
    <w:p>
      <w:pPr>
        <w:pStyle w:val="AIA Format Level 4"/>
        <w:numPr>
          <w:ilvl w:val="4"/>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4"/>
        <w:numPr>
          <w:ilvl w:val="4"/>
          <w:numId w:val="2"/>
        </w:numPr>
        <w:jc w:val="left"/>
      </w:pPr>
      <w:r>
        <w:rPr>
          <w:rFonts w:ascii="times new roman" w:eastAsia="times new roman" w:hAnsi="times new roman" w:cs="times new roman"/>
          <w:b/>
          <w:bCs/>
          <w:sz w:val="22"/>
          <w:szCs w:val="22"/>
        </w:rPr>
        <w:t>Marker Tray Options Available:</w:t>
      </w:r>
    </w:p>
    <w:p>
      <w:pPr>
        <w:pStyle w:val="AIA Format Level 5"/>
        <w:numPr>
          <w:ilvl w:val="5"/>
          <w:numId w:val="2"/>
        </w:numPr>
        <w:jc w:val="left"/>
      </w:pPr>
      <w:r>
        <w:rPr>
          <w:rFonts w:ascii="times new roman" w:eastAsia="times new roman" w:hAnsi="times new roman" w:cs="times new roman"/>
          <w:b/>
          <w:bCs/>
          <w:sz w:val="22"/>
          <w:szCs w:val="22"/>
        </w:rPr>
        <w:t>Blade Tray:</w:t>
      </w:r>
      <w:r>
        <w:rPr>
          <w:rFonts w:ascii="times new roman" w:eastAsia="times new roman" w:hAnsi="times new roman" w:cs="times new roman"/>
          <w:sz w:val="22"/>
          <w:szCs w:val="22"/>
        </w:rPr>
        <w:t xml:space="preserve"> Slim, low-profile tray fabricated from extruded aluminum, offering a clean, minimalist profile that blends seamlessly with modern surfaces.</w:t>
      </w:r>
    </w:p>
    <w:p>
      <w:pPr>
        <w:pStyle w:val="AIA Format Level 5"/>
        <w:numPr>
          <w:ilvl w:val="5"/>
          <w:numId w:val="2"/>
        </w:numPr>
        <w:jc w:val="left"/>
      </w:pPr>
      <w:r>
        <w:rPr>
          <w:rFonts w:ascii="times new roman" w:eastAsia="times new roman" w:hAnsi="times new roman" w:cs="times new roman"/>
          <w:b/>
          <w:bCs/>
          <w:sz w:val="22"/>
          <w:szCs w:val="22"/>
        </w:rPr>
        <w:t>Box Tray:</w:t>
      </w:r>
      <w:r>
        <w:rPr>
          <w:rFonts w:ascii="times new roman" w:eastAsia="times new roman" w:hAnsi="times new roman" w:cs="times new roman"/>
          <w:sz w:val="22"/>
          <w:szCs w:val="22"/>
        </w:rPr>
        <w:t xml:space="preserve"> Square-profile tray constructed from extruded aluminum, providing durability, balanced design, and everyday functionality.</w:t>
      </w:r>
    </w:p>
    <w:p>
      <w:pPr>
        <w:pStyle w:val="AIA Format Level 5"/>
        <w:numPr>
          <w:ilvl w:val="5"/>
          <w:numId w:val="2"/>
        </w:numPr>
        <w:jc w:val="left"/>
      </w:pPr>
      <w:r>
        <w:rPr>
          <w:rFonts w:ascii="times new roman" w:eastAsia="times new roman" w:hAnsi="times new roman" w:cs="times new roman"/>
          <w:b/>
          <w:bCs/>
          <w:sz w:val="22"/>
          <w:szCs w:val="22"/>
        </w:rPr>
        <w:t>Traditional Box Tray:</w:t>
      </w:r>
      <w:r>
        <w:rPr>
          <w:rFonts w:ascii="times new roman" w:eastAsia="times new roman" w:hAnsi="times new roman" w:cs="times new roman"/>
          <w:sz w:val="22"/>
          <w:szCs w:val="22"/>
        </w:rPr>
        <w:t xml:space="preserve"> Classic rounded-profile tray made from extruded aluminum, combining strength with timeless architectural detail.</w:t>
      </w:r>
    </w:p>
    <w:p>
      <w:pPr>
        <w:pStyle w:val="AIA Format Level 4"/>
        <w:numPr>
          <w:ilvl w:val="4"/>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5"/>
        <w:numPr>
          <w:ilvl w:val="5"/>
          <w:numId w:val="2"/>
        </w:numPr>
        <w:jc w:val="left"/>
      </w:pPr>
      <w:r>
        <w:rPr>
          <w:rFonts w:ascii="times new roman" w:eastAsia="times new roman" w:hAnsi="times new roman" w:cs="times new roman"/>
          <w:b/>
          <w:bCs/>
          <w:sz w:val="22"/>
          <w:szCs w:val="22"/>
        </w:rPr>
        <w:t>Map Rail Insert Options:</w:t>
      </w:r>
      <w:r>
        <w:rPr>
          <w:rFonts w:ascii="times new roman" w:eastAsia="times new roman" w:hAnsi="times new roman" w:cs="times new roman"/>
          <w:sz w:val="22"/>
          <w:szCs w:val="22"/>
        </w:rPr>
        <w:t xml:space="preserve"> [ Natural Cork ]</w:t>
      </w:r>
    </w:p>
    <w:p>
      <w:pPr>
        <w:pStyle w:val="AIA Format Level 6"/>
        <w:numPr>
          <w:ilvl w:val="6"/>
          <w:numId w:val="2"/>
        </w:numPr>
        <w:jc w:val="left"/>
      </w:pPr>
      <w:r>
        <w:rPr>
          <w:rFonts w:ascii="times new roman" w:eastAsia="times new roman" w:hAnsi="times new roman" w:cs="times new roman"/>
          <w:sz w:val="22"/>
          <w:szCs w:val="22"/>
        </w:rPr>
        <w:t>Natural Cork.</w:t>
      </w:r>
    </w:p>
    <w:p>
      <w:pPr>
        <w:pStyle w:val="AIA Format Level 6"/>
        <w:numPr>
          <w:ilvl w:val="6"/>
          <w:numId w:val="2"/>
        </w:numPr>
        <w:jc w:val="left"/>
      </w:pPr>
      <w:r>
        <w:rPr>
          <w:rFonts w:ascii="times new roman" w:eastAsia="times new roman" w:hAnsi="times new roman" w:cs="times new roman"/>
          <w:sz w:val="22"/>
          <w:szCs w:val="22"/>
        </w:rPr>
        <w:t>Bulletin Forbo.</w:t>
      </w:r>
    </w:p>
    <w:p>
      <w:pPr>
        <w:pStyle w:val="AIA Format Level 7"/>
        <w:numPr>
          <w:ilvl w:val="7"/>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3"/>
        <w:numPr>
          <w:ilvl w:val="3"/>
          <w:numId w:val="2"/>
        </w:numPr>
        <w:jc w:val="left"/>
      </w:pPr>
      <w:r>
        <w:rPr>
          <w:rFonts w:ascii="times new roman" w:eastAsia="times new roman" w:hAnsi="times new roman" w:cs="times new roman"/>
          <w:sz w:val="22"/>
          <w:szCs w:val="22"/>
        </w:rPr>
        <w:t>Aluminum Sheet Backing: ​28 gauge, 0.015 inch (0.38 mm)​ thick.</w:t>
      </w:r>
    </w:p>
    <w:p>
      <w:pPr>
        <w:pStyle w:val="AIA Format Level 3"/>
        <w:numPr>
          <w:ilvl w:val="3"/>
          <w:numId w:val="2"/>
        </w:numPr>
        <w:jc w:val="left"/>
      </w:pPr>
      <w:r>
        <w:rPr>
          <w:rFonts w:ascii="times new roman" w:eastAsia="times new roman" w:hAnsi="times new roman" w:cs="times new roman"/>
          <w:sz w:val="22"/>
          <w:szCs w:val="22"/>
        </w:rPr>
        <w:t>Steel Sheet Backing: ​28 gauge, 0.015 inch (0.38 mm)​​, galvanized​.</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Temporary Protective Cover:  Sheet polyethylene, 8 mil (0.2 mm) thick.</w:t>
      </w:r>
    </w:p>
    <w:p>
      <w:pPr>
        <w:pStyle w:val="AIA Format Level 3"/>
        <w:numPr>
          <w:ilvl w:val="3"/>
          <w:numId w:val="2"/>
        </w:numPr>
        <w:jc w:val="left"/>
      </w:pPr>
      <w:r>
        <w:rPr>
          <w:rFonts w:ascii="times new roman" w:eastAsia="times new roman" w:hAnsi="times new roman" w:cs="times new roman"/>
          <w:sz w:val="22"/>
          <w:szCs w:val="22"/>
        </w:rPr>
        <w:t xml:space="preserve">Flag Holders: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Plastic</w:t>
      </w:r>
      <w:r>
        <w:rPr>
          <w:rFonts w:ascii="times new roman" w:eastAsia="times new roman" w:hAnsi="times new roman" w:cs="times new roman"/>
          <w:sz w:val="22"/>
          <w:szCs w:val="22"/>
        </w:rPr>
        <w:t xml:space="preserve"> bored to receive 1 inch (25 mm) diameter flag staff, bracketed to fit top rail of board.</w:t>
      </w:r>
    </w:p>
    <w:p>
      <w:pPr>
        <w:pStyle w:val="AIA Format Level 3"/>
        <w:numPr>
          <w:ilvl w:val="3"/>
          <w:numId w:val="2"/>
        </w:numPr>
        <w:jc w:val="left"/>
      </w:pPr>
      <w:r>
        <w:rPr>
          <w:rFonts w:ascii="times new roman" w:eastAsia="times new roman" w:hAnsi="times new roman" w:cs="times new roman"/>
          <w:sz w:val="22"/>
          <w:szCs w:val="22"/>
        </w:rPr>
        <w:t xml:space="preserve">Map Hooks: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 </w:t>
      </w:r>
      <w:r>
        <w:rPr>
          <w:rFonts w:ascii="times new roman" w:eastAsia="times new roman" w:hAnsi="times new roman" w:cs="times new roman"/>
          <w:b/>
          <w:bCs/>
          <w:sz w:val="22"/>
          <w:szCs w:val="22"/>
        </w:rPr>
        <w:t>Plastic</w:t>
      </w:r>
      <w:r>
        <w:rPr>
          <w:rFonts w:ascii="times new roman" w:eastAsia="times new roman" w:hAnsi="times new roman" w:cs="times new roman"/>
          <w:sz w:val="22"/>
          <w:szCs w:val="22"/>
        </w:rPr>
        <w:t xml:space="preserve"> ] designed to hold and support pull-down maps, charts, or visual aids in classrooms, bracketed to fit top rail of the board.</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 xml:space="preserve">Mounting Brackets: [ </w:t>
      </w:r>
      <w:r>
        <w:rPr>
          <w:rFonts w:ascii="times new roman" w:eastAsia="times new roman" w:hAnsi="times new roman" w:cs="times new roman"/>
          <w:b/>
          <w:bCs/>
          <w:sz w:val="22"/>
          <w:szCs w:val="22"/>
        </w:rPr>
        <w:t>Concealed Z Clips</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L Clips</w:t>
      </w:r>
      <w:r>
        <w:rPr>
          <w:rFonts w:ascii="times new roman" w:eastAsia="times new roman" w:hAnsi="times new roman" w:cs="times new roman"/>
          <w:sz w:val="22"/>
          <w:szCs w:val="22"/>
        </w:rPr>
        <w:t xml:space="preserve">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3"/>
        <w:numPr>
          <w:ilvl w:val="3"/>
          <w:numId w:val="2"/>
        </w:numPr>
        <w:jc w:val="left"/>
      </w:pPr>
      <w:r>
        <w:rPr>
          <w:rFonts w:ascii="times new roman" w:eastAsia="times new roman" w:hAnsi="times new roman" w:cs="times new roman"/>
          <w:sz w:val="22"/>
          <w:szCs w:val="22"/>
        </w:rPr>
        <w:t>Break-in slate chalkboards with a chalk and clean treatment.</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MARKERBOARDS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